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tbl>
      <w:tblPr>
        <w:tblpPr w:leftFromText="181" w:rightFromText="181" w:vertAnchor="text" w:tblpX="1" w:tblpY="1"/>
        <w:tblW w:w="540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874"/>
        <w:gridCol w:w="3986"/>
        <w:gridCol w:w="990"/>
        <w:gridCol w:w="2959"/>
      </w:tblGrid>
      <w:tr w:rsidR="00FC1604">
        <w:trPr>
          <w:trHeight w:val="39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  <w:bookmarkStart w:id="0" w:name="_GoBack" w:colFirst="2" w:colLast="2"/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ПОЯСНИТЕЛЬНАЯ ЗАПИСКА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</w:tr>
      <w:tr w:rsidR="00FC1604">
        <w:trPr>
          <w:trHeight w:val="39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КОДЫ</w:t>
            </w:r>
          </w:p>
        </w:tc>
      </w:tr>
      <w:tr w:rsidR="00FC1604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97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u w:val="single"/>
              </w:rPr>
            </w:pPr>
            <w:r>
              <w:rPr>
                <w:rFonts w:ascii="Times New Roman" w:hAnsi="Times New Roman"/>
                <w:sz w:val="18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  </w:t>
            </w:r>
            <w:r>
              <w:rPr>
                <w:rFonts w:ascii="Times New Roman" w:hAnsi="Times New Roman"/>
                <w:sz w:val="18"/>
                <w:lang w:val="en-US" w:eastAsia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18"/>
                <w:lang w:val="en-US" w:eastAsia="en-US"/>
              </w:rPr>
              <w:t>апреля</w:t>
            </w:r>
            <w:proofErr w:type="spellEnd"/>
            <w:r>
              <w:rPr>
                <w:rFonts w:ascii="Times New Roman" w:hAnsi="Times New Roman"/>
                <w:sz w:val="18"/>
                <w:lang w:val="en-US" w:eastAsia="en-US"/>
              </w:rPr>
              <w:t xml:space="preserve"> 2022</w:t>
            </w:r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года</w:t>
            </w: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Форма по ОКУД</w:t>
            </w:r>
          </w:p>
        </w:tc>
        <w:tc>
          <w:tcPr>
            <w:tcW w:w="1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0503160</w:t>
            </w:r>
          </w:p>
        </w:tc>
      </w:tr>
      <w:bookmarkEnd w:id="0"/>
      <w:tr w:rsidR="00FC1604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97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  <w:sz w:val="28"/>
                <w:u w:val="single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FC1604">
        <w:trPr>
          <w:trHeight w:val="39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</w:rPr>
              <w:t>01.04.2022</w:t>
            </w:r>
          </w:p>
        </w:tc>
      </w:tr>
      <w:tr w:rsidR="00FC1604">
        <w:trPr>
          <w:trHeight w:val="360"/>
        </w:trPr>
        <w:tc>
          <w:tcPr>
            <w:tcW w:w="122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Главный распорядитель, распорядитель, получатель бюджетных средств, главный администратор, администратор доходов бюджета, главный </w:t>
            </w:r>
            <w:r>
              <w:rPr>
                <w:rFonts w:ascii="Times New Roman" w:hAnsi="Times New Roman"/>
                <w:color w:val="000000"/>
              </w:rPr>
              <w:t>администратор, администратор источников финансирования дефицита бюджета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ОКПО</w:t>
            </w:r>
          </w:p>
        </w:tc>
        <w:tc>
          <w:tcPr>
            <w:tcW w:w="1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13539829</w:t>
            </w:r>
          </w:p>
        </w:tc>
      </w:tr>
      <w:tr w:rsidR="00FC1604">
        <w:trPr>
          <w:trHeight w:val="375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FC1604">
        <w:trPr>
          <w:trHeight w:val="375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FC1604">
        <w:trPr>
          <w:trHeight w:val="390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FC1604">
        <w:trPr>
          <w:trHeight w:val="1785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4E3B0C">
              <w:rPr>
                <w:rFonts w:ascii="Times New Roman" w:hAnsi="Times New Roman"/>
                <w:color w:val="000000"/>
                <w:lang w:eastAsia="en-US"/>
              </w:rPr>
              <w:t>управа Хорошевского района города Москвы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Глава по БК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931 </w:t>
            </w:r>
          </w:p>
        </w:tc>
      </w:tr>
      <w:tr w:rsidR="00FC1604">
        <w:trPr>
          <w:trHeight w:val="983"/>
        </w:trPr>
        <w:tc>
          <w:tcPr>
            <w:tcW w:w="122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бюджета (публично-правового образования) 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Бюджет города Москвы</w:t>
            </w: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ОКТМО</w:t>
            </w:r>
          </w:p>
        </w:tc>
        <w:tc>
          <w:tcPr>
            <w:tcW w:w="1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yle461"/>
                <w:rFonts w:ascii="Times New Roman" w:hAnsi="Times New Roman"/>
                <w:sz w:val="22"/>
                <w:lang w:val="en-US" w:eastAsia="en-US"/>
              </w:rPr>
              <w:t>45348000</w:t>
            </w:r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</w:p>
        </w:tc>
      </w:tr>
      <w:tr w:rsidR="00FC1604">
        <w:trPr>
          <w:trHeight w:val="24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FC1604">
        <w:trPr>
          <w:trHeight w:val="33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Периодичность: </w:t>
            </w:r>
          </w:p>
        </w:tc>
        <w:tc>
          <w:tcPr>
            <w:tcW w:w="2312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 w:eastAsia="en-US"/>
              </w:rPr>
              <w:t>квартальная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604">
        <w:trPr>
          <w:trHeight w:val="450"/>
        </w:trPr>
        <w:tc>
          <w:tcPr>
            <w:tcW w:w="312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Единица измерения: руб.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ОКЕИ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383</w:t>
            </w:r>
          </w:p>
        </w:tc>
      </w:tr>
      <w:tr w:rsidR="00FC1604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0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604" w:rsidRDefault="00FC1604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</w:tr>
      <w:tr w:rsidR="00FC1604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</w:tr>
      <w:tr w:rsidR="00FC1604">
        <w:trPr>
          <w:gridAfter w:val="3"/>
          <w:wAfter w:w="3777" w:type="pct"/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</w:tr>
      <w:tr w:rsidR="00FC1604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</w:tr>
      <w:tr w:rsidR="00FC1604">
        <w:trPr>
          <w:gridAfter w:val="3"/>
          <w:wAfter w:w="3777" w:type="pct"/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1604" w:rsidRDefault="00FC1604">
            <w:pPr>
              <w:widowControl w:val="0"/>
              <w:rPr>
                <w:sz w:val="20"/>
              </w:rPr>
            </w:pPr>
          </w:p>
        </w:tc>
      </w:tr>
    </w:tbl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Раздел 1 «Организационная структура субъекта бюджетной отчетности»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1"/>
        <w:tblW w:w="1074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740"/>
      </w:tblGrid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34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месте нахождения и организационно-правовой форме субъекта </w:t>
            </w:r>
            <w:r>
              <w:rPr>
                <w:rFonts w:ascii="Times New Roman" w:hAnsi="Times New Roman"/>
                <w:b/>
                <w:sz w:val="24"/>
              </w:rPr>
              <w:t>отчетности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123007, Москва г, ш Хорошёвское, д. 84, к. 3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 об изменениях наименования субъекта за отчетный период, если такие изменения производились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учредителя субъекта отчетности (для подведомственных получателей </w:t>
            </w:r>
            <w:r>
              <w:rPr>
                <w:rFonts w:ascii="Times New Roman" w:hAnsi="Times New Roman"/>
                <w:b/>
                <w:sz w:val="24"/>
              </w:rPr>
              <w:t>бюджетных средств)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Г.Москва</w:t>
            </w:r>
            <w:proofErr w:type="spellEnd"/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наличии филиалов (обособленных подразделений) учреждения по состоянию на отчетную дату с указанием причин, произошедших в течение отчетного периода изменений количества филиалов (обособленных подразделений)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t>Информация отсутствует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изменении состава бюджетных полномочий получателей, распорядителей бюджетных средств, находящихся в ведении главного распорядителя (распорядителя) бюджетных средств, а также администраторов находящихся в ведении гла</w:t>
            </w:r>
            <w:r>
              <w:rPr>
                <w:rFonts w:ascii="Times New Roman" w:hAnsi="Times New Roman"/>
                <w:b/>
                <w:sz w:val="24"/>
              </w:rPr>
              <w:t>вных администраторов источников финансирования дефицита бюджета, главных администраторов доходов бюджета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t>Информация отсутствует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передаче полномочий по ведению бухгалтерского учета иному учреждению (централизованной бухгалтерии) на </w:t>
            </w:r>
            <w:r>
              <w:rPr>
                <w:rFonts w:ascii="Times New Roman" w:hAnsi="Times New Roman"/>
                <w:b/>
                <w:sz w:val="24"/>
              </w:rPr>
              <w:t>основании договора (соглашения) с указанием их реквизитов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t>Информация отсутствует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исполнителе (ФИО, должность) централизованной бухгалтерии, составившем бухгалтерскую отчетность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t>Информация отсутствует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Иная информация, оказавшая </w:t>
            </w:r>
            <w:r>
              <w:rPr>
                <w:rFonts w:ascii="Times New Roman" w:hAnsi="Times New Roman"/>
                <w:b/>
                <w:sz w:val="24"/>
              </w:rPr>
              <w:t>существенное влияние и характеризующая организационную структуру субъекта бюджетной отчетности за отчетный период, не нашедшая отражения в таблицах и приложениях, включаемых в раздел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t>Информация отсутствует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Прочая информация </w:t>
            </w:r>
          </w:p>
          <w:p w:rsidR="00FC1604" w:rsidRDefault="00FC1604">
            <w:pPr>
              <w:widowControl w:val="0"/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/>
                <w:sz w:val="24"/>
              </w:rPr>
            </w:pPr>
          </w:p>
        </w:tc>
      </w:tr>
      <w:tr w:rsidR="00FC1604">
        <w:trPr>
          <w:trHeight w:val="381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4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Информация отсутствует</w:t>
            </w: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</w:tbl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Раздел 2 «Результаты деятельности субъекта бюджетной отчетности»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1"/>
        <w:tblW w:w="5405" w:type="pc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Информация, оказавшая существенное влияние и характеризующая результаты деятельности субъекта бюджетной отчетности за отчетный период, не нашедшая отражения в таблицах и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приложениях, включаемых в раздел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Иная информация о результатах деятельности субъекта бюджетной отчетности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</w:tbl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Раздел 3 «Анализ отчета об исполнении бюджета субъектом бюджетной отчетности»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1"/>
        <w:tblW w:w="5405" w:type="pc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Сведения, раскрывающие информацию о ходе реализации государственными (муниципальными) бюджетными и автономными учреждениями национальных проектов (программ), комплексного плана модернизации и расширения магистральной инфраструктуры (региональных проектов в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 составе национальных проектов) за счет средств субсидии на иные цели и субсидии на цели осуществления капитальных вложений, с указанием причин образования остатков средств целевых субсидий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Информация, раскрывающая данные о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неисполненных принятых бюджетных обязательствах и денежных обязательствах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(на основании ф. 0503128-НП)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lastRenderedPageBreak/>
              <w:t xml:space="preserve">Информация (пояснения) о некассовых операциях, отраженных в Отчете (ф. 0503127)  (характеристика операций) 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lastRenderedPageBreak/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Информация о сумме курсовой разницы, отраженной в ф. 0503127 в разрезе следующих показателей:- положительная курсовая разница;- отрицательная курсовая разница;- начисленная по доходам или расходам;-  наименование контрагентов и мероприятий, по которым осущ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ествляются расчеты в иностранной валюте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Иная информация, оказавшая существенное влияние и характеризующая результаты исполнения  бюджета субъектом бюджетной отчетности, не отраженная в таблицах и приложениях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ab/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отсутствует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</w:tbl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Раздел 4 «Анализ показателей бухгалтерской отчетности субъекта бюджетной отчетности»</w:t>
      </w:r>
    </w:p>
    <w:tbl>
      <w:tblPr>
        <w:tblStyle w:val="1"/>
        <w:tblW w:w="5405" w:type="pc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Информация, о причинах (целях) открытия счетов в кредитных организациях, о причинах образования остатка денежных средств на счетах, а также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обоснование необходимости наличия банковских счетов в случае отсутствия по ним операций в течении 2-х и более лет (на основании ф. 0503178-бюджетная деятельность)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Счета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открывались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Информация, о причинах (целях) открытия счетов в кредитных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организациях, о причинах образования остатка денежных средств на счетах в кредитной организации (на основании ф. 0503178-средства во временном распоряжении)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Счета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открывались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Информация по  остаткам отраженным по счету бюджетного учета 120134000 «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Касса» 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об объектах учета выплат персоналу: - о сумме задолженности по текущим выплатам персоналу на начало и конец отчетного периода;- о сумме резерва предстоящих расходов по выплатам персоналу (отложенных выплат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персоналу) на начало и конец отчетного периода по каждому виду обязанностей по выплатам персоналу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остаток резерва на отпуска на 2022 год  1266244,89</w:t>
            </w:r>
          </w:p>
          <w:p w:rsidR="00FC1604" w:rsidRPr="004E3B0C" w:rsidRDefault="00FC1604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 сумме корректировок (увеличений, уменьшений) величины резерва предстоящих расходов по выплатам персоналу (отложенных выплат персоналу) по каждому виду отложенных выплат персоналу  в структуре оснований:                                        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                                                                        - признание объектов учета отложенных выплат персоналу; - признание объектов учета текущих выплат персоналу за счет сумм ранее признанного резерва;                                    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                                                                                       - корректировка резерва в части избыточно начисленных сумм резерва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Информация о пенсионных и иных аналогичных выплатах на плановый период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Иная информация, характеризующая показатели бухгалтерской отчетности субъекта бюджетной отчетности, не нашедшая отражения в таблицах и приложениях</w:t>
            </w:r>
          </w:p>
          <w:p w:rsidR="00FC1604" w:rsidRPr="004E3B0C" w:rsidRDefault="00FC1604">
            <w:pPr>
              <w:widowControl w:val="0"/>
              <w:ind w:right="35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5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</w:tbl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Раздел 5 «Прочие вопросы деятельности субъекта </w:t>
      </w:r>
      <w:r>
        <w:rPr>
          <w:rFonts w:ascii="Times New Roman" w:hAnsi="Times New Roman"/>
          <w:b/>
          <w:color w:val="000000"/>
          <w:sz w:val="28"/>
        </w:rPr>
        <w:t>бюджетной отчетности»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1"/>
        <w:tblW w:w="5405" w:type="pc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Перечень правовых актов главного распорядителя бюджетных средств, главного администратора источников финансирования дефицита бюджета, главного администратора доходов бюджетов, регулирующих ведение бюджетного (бухгалтерского) учета и составление отчетности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 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Федеральный закон от 06.12.2011 № 402-ФЗ «О бухгалтерском учете», Инструкция о порядке составления и представления годовой, квартальной и месячной отчетности об исполнении бюджетов бюджетной системы РФ, утвержденная приказом Минфина России от 28.12.201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0 № 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Федерации", Учетная политика префектуры, утвержденная приказом от 30.12.2016 № 57 (в ре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дакции приказа префектуры 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от 14.09.2021 № 25), распоряжение префектуры от 24.12.2021 № 913 "О закреплении полномочий по администрированию доходов бюджета города Москвы по коду ведомства 931 - префектура Северного административного округа города Москвы за п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рефектурой Северного административного округа города Москвы и подведомственными префектуре государственными учреждениями". Префектура Северного административного округа города Москвы публикует основные положения Учетной политики на официальном сайте (с раз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мещением копий документов учетной политики): Официальный сайт префектуры Северного административного округа города Москвы "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https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://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sao</w:t>
            </w:r>
            <w:proofErr w:type="spellEnd"/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mos</w:t>
            </w:r>
            <w:proofErr w:type="spellEnd"/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/", раздел "Наш округ", подраздел "Правовые акты". Префектура Северного административного округа города Москвы разм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ещает отчетность на официальном сайте "</w:t>
            </w:r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https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://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sao</w:t>
            </w:r>
            <w:proofErr w:type="spellEnd"/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mos</w:t>
            </w:r>
            <w:proofErr w:type="spellEnd"/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/" раздел "Экономика", подраздел "Бюджетная отчетность".</w:t>
            </w: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Информация о событиях, произошедших в период между отчетной датой и датой утверждения бухгалтерской отчетности  по долговым обязательствам, классифицированным как краткосрочные:- рефинансирование на долгосрочный период;- устранение нарушения соглашения о д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олгосрочном финансировании;- получение от кредитора отсрочки исполнения обязательств на период, оканчивающийся не ранее чем через 12 месяцев после отчетной даты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 задолженности по исполнительным документам и правовом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основании ее возникновения, отраженная в ф. 0503296 с указанием причин неисполнения обязательств, в том числе по КОСГУ 296, КОСГУ 297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 просроченной кредиторской задолженности  отраженная в ф. 0503387 «Справочная таблица к отчету об исполнении консолидированного бюджета субъекта Российской Федерации» 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Иная информация отраженная в ф. 0503387 «Справочная таблица к отчету об исполнении консолидированного бюджета субъекта Российской Федерации»  и требующая пояснения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 причинах наличия допустимых отклонений показателей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отчета ф.0503324 данным, отраженным в Отчете ф. 0531888, формируемом Управлением Федерального казначейства по г. Москве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 полученных межбюджетных трансфертах находящихся на отчетную дату на счете территориального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органа Федерального казначейства, открытом на балансовом счете 40101 «Доходы, распределяемые органами Федерального казначейства между уровнями бюджетной системы Российской Федерации» (на основании ф. 0503184)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Иная информация  о  межбюджетных трансфертах за отчетный период, не нашедшая отражения в формах отчетов, таблицах и приложениях  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 Сведения о правопреемственности по всем обязательствам реорганизуемого субъекта бюджетной отчетности в отношении всех кредиторов и должников, включая и обязательства, оспариваемые в суде, а также иная информация, характеризующая показатели бухгалтерской о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тчетности реорганизуемого субъекта бюджетной отчетности за отчетный период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Информация о вносимых изменениях в показатели ранее представленной бухгалтерской отчётности по решению уполномоченного органа  в период после отчетной даты  и до даты утверждения отчетности на основании выявленных ошибок и существенных событий после отчетн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ой даты (с указанием причин внесения исправлений и их содержания) по ошибкам отчетного периода, выявленных в ходе камеральной проверки отчетности, а также в ходе осуществления внутреннего (внешнего) финансового контроля (аудита)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Информация об ошибке бухгалтерской отчетности, допущенной в текущем финансовом году (ошибка отчетного года) и выявленной после даты принятия (утверждения) квартальной бухгалтерской отчетности (информация о существенности ошибки, описание ошибки (содержани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я и суммы), а также суммовых значений выполненных корректировок бухгалтерской  отчетности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Корректировка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дебиторской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задолженности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Перечень форм отчетности, не включенных в состав бюджетной отчетности за отчетный период ввиду отсутствия числовых значений показателей (подлежит заполнению при отсутствии возможности  формирования и (или) представления бюджетной отчетности средствами прог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раммных комплексов)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Формы бюджетной отчетности, не имеющие числовых значений показателей и не содержащие пояснения, сформированы и представлены посредством модуля «Консолидированная бюджетная отчетность» автоматизированной информационной системы Департам</w:t>
            </w:r>
            <w:r w:rsidRPr="004E3B0C">
              <w:rPr>
                <w:rFonts w:ascii="Times New Roman" w:hAnsi="Times New Roman"/>
                <w:color w:val="000000"/>
                <w:sz w:val="24"/>
                <w:lang w:eastAsia="en-US"/>
              </w:rPr>
              <w:t>ента финансов города Москвы с указанием отметки «показатели отсутствуют»</w:t>
            </w: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по заимствованиям:- величина затрат, включенных в расходы текущего отчетного периода;- величина обязательств по затратам по заимствованиям на начало и конец отчетного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периода;- величина затрат по заимствованиям, включенных в течение отчетного периода в первоначальную стоимость нефинансовых активов, создаваемых с привлечением заимствований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 xml:space="preserve">Информация об изменениях вступительного баланса на 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начало года в связи с внедрением федеральных стандартов бухгалтерского учета, в связи с выявленными ошибками предшествующих годов, отраженных после утверждения бухгалтерской отчетности, в связи с изменением учетной политики, в связи с пересчетом показателе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й отчетности и иными причинами изменения вступительного баланса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Pr="004E3B0C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FC1604" w:rsidRPr="004E3B0C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Иная финансовая и нефинансовая информация, оказавшая существенное влияние на результаты деятельности субъекта бюджетной отчетности и необходимая для понимания польз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ователями бухгалтерской отчетности финансового положения, финансовых результатов деятельности и движения денежных средств субъекта отчетности за отчетный период,  также иная информация, характеризующая показатели бухгалтерской отчетности, не нашедшая отраж</w:t>
            </w:r>
            <w:r w:rsidRPr="004E3B0C">
              <w:rPr>
                <w:rFonts w:ascii="Times New Roman" w:hAnsi="Times New Roman"/>
                <w:b/>
                <w:sz w:val="24"/>
                <w:lang w:eastAsia="en-US"/>
              </w:rPr>
              <w:t>ения в таблицах и приложениях, включаемых в раздел</w:t>
            </w:r>
          </w:p>
          <w:p w:rsidR="00FC1604" w:rsidRPr="004E3B0C" w:rsidRDefault="00FC1604">
            <w:pPr>
              <w:widowControl w:val="0"/>
              <w:ind w:right="-142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</w:p>
        </w:tc>
      </w:tr>
      <w:tr w:rsidR="00FC1604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ind w:right="35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>отсутсвуют</w:t>
            </w:r>
            <w:proofErr w:type="spellEnd"/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FC160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FC1604" w:rsidRDefault="00FC1604">
            <w:pPr>
              <w:widowControl w:val="0"/>
              <w:ind w:right="-142"/>
              <w:jc w:val="both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</w:tbl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  <w:sectPr w:rsidR="00FC1604">
          <w:pgSz w:w="12240" w:h="15840"/>
          <w:pgMar w:top="1134" w:right="1701" w:bottom="1134" w:left="819" w:header="708" w:footer="708" w:gutter="0"/>
          <w:cols w:space="720"/>
        </w:sect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Информация о причинах отклонений показателей представленных форм отчетности по </w:t>
      </w:r>
      <w:proofErr w:type="spellStart"/>
      <w:r>
        <w:rPr>
          <w:rFonts w:ascii="Times New Roman" w:hAnsi="Times New Roman"/>
          <w:b/>
          <w:color w:val="000000"/>
          <w:sz w:val="24"/>
        </w:rPr>
        <w:t>внутридокументным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 контрольным соотношениям, установленным в автоматизированной </w:t>
      </w:r>
      <w:r>
        <w:rPr>
          <w:rFonts w:ascii="Times New Roman" w:hAnsi="Times New Roman"/>
          <w:b/>
          <w:color w:val="000000"/>
          <w:sz w:val="24"/>
        </w:rPr>
        <w:t>информационной системе Департамента финансов (в части допустимых отклонений, требующих пояснений)</w:t>
      </w:r>
    </w:p>
    <w:p w:rsidR="00FC1604" w:rsidRDefault="00FC1604">
      <w:pPr>
        <w:widowControl w:val="0"/>
        <w:jc w:val="center"/>
      </w:pPr>
    </w:p>
    <w:tbl>
      <w:tblPr>
        <w:tblW w:w="15120" w:type="dxa"/>
        <w:tblInd w:w="-1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709"/>
        <w:gridCol w:w="851"/>
        <w:gridCol w:w="1134"/>
        <w:gridCol w:w="1559"/>
        <w:gridCol w:w="1843"/>
        <w:gridCol w:w="1701"/>
        <w:gridCol w:w="1701"/>
        <w:gridCol w:w="4749"/>
      </w:tblGrid>
      <w:tr w:rsidR="00FC1604">
        <w:trPr>
          <w:trHeight w:val="255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Форма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Атрибут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Номер КС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Описание КС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Комментарий КС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Значение слева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Значение справа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Отклонение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Пояснение</w:t>
            </w:r>
          </w:p>
        </w:tc>
      </w:tr>
      <w:tr w:rsidR="00FC1604">
        <w:trPr>
          <w:trHeight w:val="255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8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9</w:t>
            </w:r>
          </w:p>
        </w:tc>
      </w:tr>
      <w:tr w:rsidR="00FC1604">
        <w:trPr>
          <w:trHeight w:val="255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sz w:val="16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</w:tr>
    </w:tbl>
    <w:p w:rsidR="00FC1604" w:rsidRDefault="00FC1604">
      <w:pPr>
        <w:widowControl w:val="0"/>
        <w:jc w:val="center"/>
        <w:rPr>
          <w:rFonts w:ascii="Times New Roman CYR" w:hAnsi="Times New Roman CYR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" w:hAnsi="Times New Roman"/>
          <w:sz w:val="28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" w:hAnsi="Times New Roman"/>
          <w:sz w:val="28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" w:hAnsi="Times New Roman"/>
          <w:sz w:val="28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4E3B0C">
      <w:pPr>
        <w:widowControl w:val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Информация о </w:t>
      </w:r>
      <w:r>
        <w:rPr>
          <w:rFonts w:ascii="Times New Roman" w:hAnsi="Times New Roman"/>
          <w:b/>
          <w:color w:val="000000"/>
          <w:sz w:val="24"/>
        </w:rPr>
        <w:t>причинах отклонений показателей представленных форм отчетности по </w:t>
      </w:r>
      <w:proofErr w:type="spellStart"/>
      <w:r>
        <w:rPr>
          <w:rFonts w:ascii="Times New Roman" w:hAnsi="Times New Roman"/>
          <w:b/>
          <w:color w:val="000000"/>
          <w:sz w:val="24"/>
        </w:rPr>
        <w:t>междокументным</w:t>
      </w:r>
      <w:proofErr w:type="spellEnd"/>
      <w:r>
        <w:rPr>
          <w:rFonts w:ascii="Times New Roman" w:hAnsi="Times New Roman"/>
          <w:b/>
          <w:color w:val="000000"/>
          <w:sz w:val="24"/>
        </w:rPr>
        <w:t> контрольным соотношениям, установленным в автоматизированной информационной системе Департамента финансов (в части допустимых отклонений, требующих пояснений)</w:t>
      </w:r>
    </w:p>
    <w:p w:rsidR="00FC1604" w:rsidRDefault="00FC1604">
      <w:pPr>
        <w:widowControl w:val="0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15120" w:type="dxa"/>
        <w:tblInd w:w="-1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1296"/>
        <w:gridCol w:w="995"/>
        <w:gridCol w:w="900"/>
        <w:gridCol w:w="779"/>
        <w:gridCol w:w="1276"/>
        <w:gridCol w:w="728"/>
        <w:gridCol w:w="831"/>
        <w:gridCol w:w="1559"/>
        <w:gridCol w:w="1559"/>
        <w:gridCol w:w="4608"/>
      </w:tblGrid>
      <w:tr w:rsidR="00FC1604">
        <w:trPr>
          <w:trHeight w:val="552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Номер КС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Описание КС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Комментарий КС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Форма слева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Атрибут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Значение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Форма справа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Атрибут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Значение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Отклонение</w:t>
            </w:r>
          </w:p>
        </w:tc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Пояснение</w:t>
            </w:r>
          </w:p>
        </w:tc>
      </w:tr>
      <w:tr w:rsidR="00FC1604">
        <w:trPr>
          <w:trHeight w:val="252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4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6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10</w:t>
            </w:r>
          </w:p>
        </w:tc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11</w:t>
            </w:r>
          </w:p>
        </w:tc>
      </w:tr>
      <w:tr w:rsidR="00FC1604">
        <w:trPr>
          <w:trHeight w:val="552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FC1604" w:rsidRDefault="00FC1604">
            <w:pPr>
              <w:widowControl w:val="0"/>
              <w:jc w:val="both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p w:rsidR="00FC1604" w:rsidRDefault="00FC1604">
      <w:pPr>
        <w:widowControl w:val="0"/>
        <w:jc w:val="center"/>
        <w:rPr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" w:hAnsi="Times New Roman"/>
          <w:sz w:val="28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" w:hAnsi="Times New Roman"/>
          <w:sz w:val="28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</w:p>
    <w:tbl>
      <w:tblPr>
        <w:tblW w:w="11532" w:type="dxa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5441"/>
        <w:gridCol w:w="4307"/>
      </w:tblGrid>
      <w:tr w:rsidR="00FC1604"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Verdana" w:hAnsi="Verdana"/>
                <w:sz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71675" cy="51562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Бахров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Сергей Анатольевич</w:t>
            </w:r>
          </w:p>
        </w:tc>
      </w:tr>
      <w:tr w:rsidR="00FC1604">
        <w:trPr>
          <w:trHeight w:val="28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lastRenderedPageBreak/>
              <w:t> 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  <w:tr w:rsidR="00FC1604">
        <w:trPr>
          <w:trHeight w:val="281"/>
        </w:trPr>
        <w:tc>
          <w:tcPr>
            <w:tcW w:w="115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C1604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планово-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  <w:lang w:val="en-US" w:eastAsia="en-US"/>
              </w:rPr>
            </w:pPr>
            <w:r>
              <w:rPr>
                <w:rFonts w:ascii="Verdana" w:hAnsi="Verdana"/>
                <w:sz w:val="20"/>
                <w:lang w:val="en-US" w:eastAsia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971675" cy="5156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Бахров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Сергей Анатольевич</w:t>
            </w:r>
          </w:p>
        </w:tc>
      </w:tr>
      <w:tr w:rsidR="00FC1604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экономической службы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  <w:tr w:rsidR="00FC1604">
        <w:trPr>
          <w:trHeight w:val="281"/>
        </w:trPr>
        <w:tc>
          <w:tcPr>
            <w:tcW w:w="115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C1604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71675" cy="51562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Бирюкова Наталья Николаевна</w:t>
            </w:r>
          </w:p>
        </w:tc>
      </w:tr>
      <w:tr w:rsidR="00FC1604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бухгалтер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604" w:rsidRDefault="004E3B0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:rsidR="00FC1604" w:rsidRDefault="00FC1604">
      <w:pPr>
        <w:widowControl w:val="0"/>
      </w:pPr>
      <w:bookmarkStart w:id="1" w:name="_dx_frag_EndFragment"/>
      <w:bookmarkEnd w:id="1"/>
    </w:p>
    <w:p w:rsidR="00FC1604" w:rsidRDefault="00FC1604">
      <w:pPr>
        <w:widowControl w:val="0"/>
        <w:jc w:val="both"/>
        <w:rPr>
          <w:rFonts w:ascii="Times New Roman CYR" w:hAnsi="Times New Roman CYR"/>
          <w:color w:val="004DBB"/>
          <w:lang w:val="en-US" w:eastAsia="en-US"/>
        </w:rPr>
      </w:pPr>
      <w:bookmarkStart w:id="2" w:name="_dx_frag_StartFragment"/>
      <w:bookmarkEnd w:id="2"/>
    </w:p>
    <w:p w:rsidR="00FC1604" w:rsidRDefault="00FC1604">
      <w:pPr>
        <w:widowControl w:val="0"/>
        <w:jc w:val="both"/>
        <w:rPr>
          <w:rFonts w:ascii="Times New Roman" w:hAnsi="Times New Roman"/>
          <w:sz w:val="28"/>
          <w:lang w:val="en-US" w:eastAsia="en-US"/>
        </w:rPr>
      </w:pPr>
    </w:p>
    <w:sectPr w:rsidR="00FC1604">
      <w:pgSz w:w="15840" w:h="12240" w:orient="landscape"/>
      <w:pgMar w:top="1134" w:right="819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04"/>
    <w:rsid w:val="004E3B0C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EDFA5-2888-4FD3-A7F0-986F6948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</w:style>
  <w:style w:type="character" w:styleId="a4">
    <w:name w:val="Hyperlink"/>
    <w:basedOn w:val="a0"/>
    <w:rPr>
      <w:color w:val="0000FF"/>
      <w:u w:val="single"/>
    </w:rPr>
  </w:style>
  <w:style w:type="character" w:customStyle="1" w:styleId="style461">
    <w:name w:val="style461"/>
    <w:basedOn w:val="a0"/>
    <w:rPr>
      <w:sz w:val="15"/>
    </w:rPr>
  </w:style>
  <w:style w:type="table" w:styleId="1">
    <w:name w:val="Table Simple 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 Петр Александрович</dc:creator>
  <cp:lastModifiedBy>User</cp:lastModifiedBy>
  <cp:revision>2</cp:revision>
  <dcterms:created xsi:type="dcterms:W3CDTF">2022-05-05T05:37:00Z</dcterms:created>
  <dcterms:modified xsi:type="dcterms:W3CDTF">2022-05-05T05:37:00Z</dcterms:modified>
</cp:coreProperties>
</file>